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33F7D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Метод гармонической линеаризации нелинейных характеристик</w:t>
      </w:r>
    </w:p>
    <w:p w14:paraId="2B675FC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7D10B3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Метод гармонической линеаризации является приближенным, полученным в результате распространения частотных методов на исследование нелинейных систем [1,3,5,6,7].</w:t>
      </w:r>
    </w:p>
    <w:p w14:paraId="69A7F4E0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Предложено несколько разновидностей применения гармонической линеаризации (метод гармонического баланса Н. И. Крылова и                        Н. Н Боголюбова, метод Б. В. Булгакова), но все они близки между собой. В основу этих разновидностей положены частотная или гармоническая линеаризация нелинейностей и понятие об эквивалентном коэффициенте усиления нелинейного элемента.</w:t>
      </w:r>
    </w:p>
    <w:p w14:paraId="6B6A228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Метод гармонической линеаризации позволяет:</w:t>
      </w:r>
    </w:p>
    <w:p w14:paraId="61BC2149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определить условия устойчивости нелинейной системы (найти значения изменяемых параметров, при которых система будет устойчива);</w:t>
      </w:r>
    </w:p>
    <w:p w14:paraId="0955D1DA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определить возможные автоколебания в системе;</w:t>
      </w:r>
    </w:p>
    <w:p w14:paraId="3C6053FD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найти частоту и амплитуду автоколебаний.</w:t>
      </w:r>
    </w:p>
    <w:p w14:paraId="5682E8CD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Применение метода возможно при условии, что характеристики элементов не меняются с течением времени и что выходная величина нелинейного элемента зависит от значений входной величины и не зависит от ее производных и интегралов.</w:t>
      </w:r>
    </w:p>
    <w:p w14:paraId="7729DCC8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Сущность гармонической линеаризации состоит в следующем. Предположим, что имеется нелинейный элемент, в котором зависимость между выходной и входной величинами представляет нелинейную функцию вида  </w:t>
      </w:r>
    </w:p>
    <w:p w14:paraId="1C07DC78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8ED62F" wp14:editId="6CBBBBF0">
            <wp:extent cx="1456055" cy="344805"/>
            <wp:effectExtent l="0" t="0" r="0" b="0"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(1.21)       </w:t>
      </w:r>
    </w:p>
    <w:p w14:paraId="74A1AC26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т.е. выходная величина в общем случае является нелинейной функцией входной величины и ее производной. Подадим на вход нелинейного элемента гармонического воздействие </w:t>
      </w:r>
    </w:p>
    <w:p w14:paraId="795635B9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 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25D18E" wp14:editId="3AE54007">
            <wp:extent cx="1230630" cy="316230"/>
            <wp:effectExtent l="0" t="0" r="0" b="0"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(1.22)                         </w:t>
      </w:r>
    </w:p>
    <w:p w14:paraId="7B57E739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тогда                                           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D627BC" wp14:editId="3DBF0CF2">
            <wp:extent cx="1497965" cy="302260"/>
            <wp:effectExtent l="0" t="0" r="0" b="0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            (1.23)                                   </w:t>
      </w:r>
    </w:p>
    <w:p w14:paraId="764E80FF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Подставим значения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px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выражений (1.22) и (1.23) в выражение (1.21) и заменив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ωt = ψ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получим              </w:t>
      </w:r>
    </w:p>
    <w:p w14:paraId="3CB7AA4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 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5607BD9" wp14:editId="417C2F2A">
            <wp:extent cx="2412365" cy="330835"/>
            <wp:effectExtent l="0" t="0" r="0" b="0"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(1.24)                                       </w:t>
      </w:r>
    </w:p>
    <w:p w14:paraId="6D0B3D94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сложная периодическая функция, содержащая гармонические составляющие с частотами, увеличивающимися до бесконечности. Разложив правую часть выражения (1.24) в ряд Фурье, получим</w:t>
      </w:r>
    </w:p>
    <w:p w14:paraId="634638EB" w14:textId="77777777" w:rsidR="00D67303" w:rsidRPr="004377D1" w:rsidRDefault="00D67303" w:rsidP="00D67303">
      <w:pPr>
        <w:spacing w:before="100" w:beforeAutospacing="1" w:after="100" w:afterAutospacing="1"/>
        <w:ind w:left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2A3759" wp14:editId="729A2A0B">
            <wp:extent cx="5731510" cy="584200"/>
            <wp:effectExtent l="0" t="0" r="0" b="0"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4BEA99" wp14:editId="3E73BA23">
            <wp:extent cx="4269740" cy="788035"/>
            <wp:effectExtent l="0" t="0" r="0" b="0"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высшие гармоники.         (1.25)           </w:t>
      </w:r>
    </w:p>
    <w:p w14:paraId="18028DC7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Первое слагаемое в приведенном разложении представляет собой постоянную составляющую. В наиболее распространенных нелинейностях постоянная составляющая отсутствует, и поэтому в дальнейшем будем считать первое слагаемое равным нулю. Можно провести линеаризацию и в том случае, если постоянная составляющая не равна нулю. Этот вопрос рассмотрен в [1,3,5]. Высшие гармоники разложения отбрасываются, и во внимание принимается только первая (основная) гармоника разложения.  Это вносит погрешность в окончательный результат, однако в практических расчетах она, как правило, допустима, поскольку в реальных системах автоматического регулирования линейная часть является фильтром низких частот, т. е. такой динамической системой, которая пропускает только низкие частоты. Высокие частоты гасятся элементами, содержащими индуктивности, механические массы и т. п., и ими можно пренебречь.</w:t>
      </w:r>
    </w:p>
    <w:p w14:paraId="3505CF2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выражений (1.22) и (1.23) получим </w:t>
      </w:r>
    </w:p>
    <w:p w14:paraId="3AE9E0E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 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B8A049" wp14:editId="5DEA0CF9">
            <wp:extent cx="1118235" cy="612140"/>
            <wp:effectExtent l="0" t="0" r="0" b="0"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700A16B" wp14:editId="6E3D7476">
            <wp:extent cx="1245235" cy="612140"/>
            <wp:effectExtent l="0" t="0" r="0" b="0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(1.26)                              </w:t>
      </w:r>
    </w:p>
    <w:p w14:paraId="39665C9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Обозначим через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A9D6F7" wp14:editId="7CA8A48F">
            <wp:extent cx="583565" cy="330835"/>
            <wp:effectExtent l="0" t="0" r="0" b="0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BDF230" wp14:editId="4E011F89">
            <wp:extent cx="506730" cy="302260"/>
            <wp:effectExtent l="0" t="0" r="0" b="0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коэффициенты первой гармоники разложения (1.25), деленные на А будут: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7045"/>
      </w:tblGrid>
      <w:tr w:rsidR="00D67303" w:rsidRPr="004377D1" w14:paraId="187E8E58" w14:textId="77777777" w:rsidTr="00904D77">
        <w:trPr>
          <w:gridAfter w:val="1"/>
          <w:trHeight w:val="160"/>
          <w:tblCellSpacing w:w="0" w:type="dxa"/>
        </w:trPr>
        <w:tc>
          <w:tcPr>
            <w:tcW w:w="2520" w:type="dxa"/>
            <w:vAlign w:val="center"/>
            <w:hideMark/>
          </w:tcPr>
          <w:p w14:paraId="26FB79DB" w14:textId="77777777" w:rsidR="00D67303" w:rsidRPr="004377D1" w:rsidRDefault="00D67303" w:rsidP="00904D77">
            <w:pPr>
              <w:rPr>
                <w:rFonts w:ascii="Times" w:eastAsia="Times New Roman" w:hAnsi="Times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67303" w:rsidRPr="004377D1" w14:paraId="1F308CBA" w14:textId="77777777" w:rsidTr="00904D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A2779E5" w14:textId="77777777" w:rsidR="00D67303" w:rsidRPr="004377D1" w:rsidRDefault="00D67303" w:rsidP="00904D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7C1B4F" w14:textId="77777777" w:rsidR="00D67303" w:rsidRPr="004377D1" w:rsidRDefault="00D67303" w:rsidP="00904D77">
            <w:pPr>
              <w:rPr>
                <w:rFonts w:ascii="Times" w:eastAsia="Times New Roman" w:hAnsi="Times" w:cs="Times New Roman"/>
                <w:lang w:eastAsia="ru-RU"/>
              </w:rPr>
            </w:pPr>
            <w:r w:rsidRPr="004377D1">
              <w:rPr>
                <w:rFonts w:ascii="Times" w:eastAsia="Times New Roman" w:hAnsi="Times" w:cs="Times New Roman"/>
                <w:sz w:val="27"/>
                <w:szCs w:val="27"/>
                <w:lang w:eastAsia="ru-RU"/>
              </w:rPr>
              <w:fldChar w:fldCharType="begin"/>
            </w:r>
            <w:r w:rsidRPr="004377D1">
              <w:rPr>
                <w:rFonts w:ascii="Times" w:eastAsia="Times New Roman" w:hAnsi="Times" w:cs="Times New Roman"/>
                <w:sz w:val="27"/>
                <w:szCs w:val="27"/>
                <w:lang w:eastAsia="ru-RU"/>
              </w:rPr>
              <w:instrText xml:space="preserve"> INCLUDEPICTURE "https://libr.aues.kz/facultet/eef/kaf_e_i_apu/30/umm/eiapu_2.files/image063.gif" \* MERGEFORMATINET </w:instrText>
            </w:r>
            <w:r w:rsidRPr="004377D1">
              <w:rPr>
                <w:rFonts w:ascii="Times" w:eastAsia="Times New Roman" w:hAnsi="Times" w:cs="Times New Roman"/>
                <w:sz w:val="27"/>
                <w:szCs w:val="27"/>
                <w:lang w:eastAsia="ru-RU"/>
              </w:rPr>
              <w:fldChar w:fldCharType="separate"/>
            </w:r>
            <w:r w:rsidRPr="004377D1">
              <w:rPr>
                <w:rFonts w:ascii="Times" w:eastAsia="Times New Roman" w:hAnsi="Times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C23AD9A" wp14:editId="1FC7B6D4">
                  <wp:extent cx="4473575" cy="1533525"/>
                  <wp:effectExtent l="0" t="0" r="0" b="0"/>
                  <wp:docPr id="688" name="Рисунок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35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7D1">
              <w:rPr>
                <w:rFonts w:ascii="Times" w:eastAsia="Times New Roman" w:hAnsi="Times" w:cs="Times New Roman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14:paraId="24938C0C" w14:textId="77777777" w:rsidR="00D67303" w:rsidRPr="004377D1" w:rsidRDefault="00D67303" w:rsidP="00D67303">
      <w:pPr>
        <w:rPr>
          <w:rFonts w:ascii="Times New Roman" w:eastAsia="Times New Roman" w:hAnsi="Times New Roman" w:cs="Times New Roman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B705EFB" w14:textId="77777777" w:rsidR="00D67303" w:rsidRPr="004377D1" w:rsidRDefault="00D67303" w:rsidP="00D67303">
      <w:pPr>
        <w:rPr>
          <w:rFonts w:ascii="Times New Roman" w:eastAsia="Times New Roman" w:hAnsi="Times New Roman" w:cs="Times New Roman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0F8ACFC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(1.27)</w:t>
      </w:r>
    </w:p>
    <w:p w14:paraId="4F11054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</w:t>
      </w:r>
    </w:p>
    <w:p w14:paraId="5B055F4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Учитывая сказанное выше и применяя обозначения (1.26) и (1.27), выражение (1.25) может быть переписано в виде </w:t>
      </w:r>
    </w:p>
    <w:p w14:paraId="7825B7E7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BD9A3D" wp14:editId="43D2EAFB">
            <wp:extent cx="2173605" cy="626110"/>
            <wp:effectExtent l="0" t="0" r="0" b="0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(1.28)                  </w:t>
      </w:r>
    </w:p>
    <w:p w14:paraId="5A0D1C3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Выражение (1.28) является линейным. Таким образом, гармоническая линеаризация заключается в том, что нелинейная функция вида (1.21) с точностью до высших гармоник заменяется линейной функцией вида (1.28).</w:t>
      </w:r>
    </w:p>
    <w:p w14:paraId="43FF66A2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Выражение </w:t>
      </w:r>
    </w:p>
    <w:p w14:paraId="38111EB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8D6A57" wp14:editId="05354634">
            <wp:extent cx="2313940" cy="598170"/>
            <wp:effectExtent l="0" t="0" r="0" b="0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(1.29)                                </w:t>
      </w:r>
    </w:p>
    <w:p w14:paraId="03D4C986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 аналогии с коэффициентом при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  частотном анализе линейных систем называется приближенной передаточной функцией нелинейного элемента.</w:t>
      </w:r>
    </w:p>
    <w:p w14:paraId="1543C823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выражении (1.29) заменить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D2EE03" wp14:editId="2201E0FA">
            <wp:extent cx="203835" cy="217805"/>
            <wp:effectExtent l="0" t="0" r="0" b="0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20A246" wp14:editId="27FE2DE6">
            <wp:extent cx="330835" cy="302260"/>
            <wp:effectExtent l="0" t="0" r="0" b="0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339B8E" wp14:editId="1FE38FF9">
            <wp:extent cx="1090295" cy="281305"/>
            <wp:effectExtent l="0" t="0" r="0" b="0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получим приближенное значение эквивалентного комплексного коэффициента усиления нелинейного элемента                                       </w:t>
      </w:r>
    </w:p>
    <w:p w14:paraId="6461B1D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 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"https://libr.aues.kz/facultet/eef/kaf_e_i_apu/30/umm/eiapu_2.files/image069.gif"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1700D2" wp14:editId="25876F6D">
            <wp:extent cx="2068195" cy="330835"/>
            <wp:effectExtent l="0" t="0" r="0" b="0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(1.30)                             </w:t>
      </w:r>
    </w:p>
    <w:p w14:paraId="12F1729C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в показательной форме    </w:t>
      </w:r>
    </w:p>
    <w:p w14:paraId="53C67FCC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 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CA7B3E" wp14:editId="0DE6E0C7">
            <wp:extent cx="2004695" cy="379730"/>
            <wp:effectExtent l="0" t="0" r="0" b="0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(1.31) </w:t>
      </w:r>
    </w:p>
    <w:p w14:paraId="012186A3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Здесь</w:t>
      </w:r>
    </w:p>
    <w:p w14:paraId="7E36C04D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49F14E" wp14:editId="48BB3452">
            <wp:extent cx="2313940" cy="429260"/>
            <wp:effectExtent l="0" t="0" r="0" b="0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(1.32)                         </w:t>
      </w:r>
    </w:p>
    <w:p w14:paraId="157C46CF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модуль эквивалентного комплексного коэффициента усиления, а его аргумент </w:t>
      </w:r>
    </w:p>
    <w:p w14:paraId="5BB52360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 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0D318B6" wp14:editId="4D67DFAC">
            <wp:extent cx="2743200" cy="675005"/>
            <wp:effectExtent l="0" t="0" r="0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(1.33)                      </w:t>
      </w:r>
    </w:p>
    <w:p w14:paraId="4F1B123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эквивалентным комплексным коэффициентом усиления нелинейного элемента называется комплексное число, модуль которого представляет отношение амплитуды первой гармоники на выходе нелинейного элемента к амплитуде синусоидального воздействия на его входа, а аргумент – разность фаз первой гармоники на выходе и синусоидального воздействия на входе. При изменении амплитуда и частота синусоидального воздействия на входе значение эквивалентного комплексного коэффициента усиления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4FCB65B" wp14:editId="0DEC97FB">
            <wp:extent cx="506730" cy="302260"/>
            <wp:effectExtent l="0" t="0" r="0" b="0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меняется.</w:t>
      </w:r>
    </w:p>
    <w:p w14:paraId="5C967084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настоящее время коэффициенты разложения в ряд Фурье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g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b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для значительного количества нелинейностей вычислены, что облегчает применение метода гармонической линеаризации. На рисунке 1.7 приведены нелинейные характеристики, для которых коэффициенты разложения имеют следующий вид:</w:t>
      </w:r>
    </w:p>
    <w:p w14:paraId="12675C0F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для характеристики на рисунке 1.7,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</w:p>
    <w:p w14:paraId="224378B4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88F2045" wp14:editId="35D5D7BA">
            <wp:extent cx="1216660" cy="612140"/>
            <wp:effectExtent l="0" t="0" r="0" b="0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C1BA2F" wp14:editId="0E107F15">
            <wp:extent cx="963930" cy="302260"/>
            <wp:effectExtent l="0" t="0" r="0" b="0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117A4F49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для характеристики на рисунке 1.7,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</w:p>
    <w:p w14:paraId="1C405859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9E81296" wp14:editId="471DC2AF">
            <wp:extent cx="2539365" cy="773430"/>
            <wp:effectExtent l="0" t="0" r="0" b="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C28445" wp14:editId="50593CF5">
            <wp:extent cx="1765300" cy="407670"/>
            <wp:effectExtent l="0" t="0" r="0" b="0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B8A03FA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для характеристики на рисунке 1.7,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8C7901F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846071" wp14:editId="137495F0">
            <wp:extent cx="3566160" cy="872490"/>
            <wp:effectExtent l="0" t="0" r="0" b="0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"https://libr.aues.kz/facultet/eef/kaf_e_i_apu/30/umm/eiapu_2.files/image079.gif"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A8C537" wp14:editId="37A2D58D">
            <wp:extent cx="1955165" cy="569595"/>
            <wp:effectExtent l="0" t="0" r="635" b="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CE764C0" wp14:editId="5411147B">
            <wp:extent cx="689610" cy="288290"/>
            <wp:effectExtent l="0" t="0" r="0" b="0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</w:t>
      </w:r>
    </w:p>
    <w:p w14:paraId="0AF0CA4F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для характеристики на рисунке 1.7,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г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28DF265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4BA0E8" wp14:editId="26689F2D">
            <wp:extent cx="2131060" cy="633095"/>
            <wp:effectExtent l="0" t="0" r="2540" b="0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AF5259" wp14:editId="5EF6E15E">
            <wp:extent cx="1435100" cy="626110"/>
            <wp:effectExtent l="0" t="0" r="0" b="0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30C677" wp14:editId="2A3A8B9D">
            <wp:extent cx="696595" cy="288290"/>
            <wp:effectExtent l="0" t="0" r="0" b="0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A98E149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Буквенные обозначения, приведенные в формулах, ясны из рисунка 1.7.</w:t>
      </w:r>
    </w:p>
    <w:p w14:paraId="46078A2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A4B014F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"https://libr.aues.kz/facultet/eef/kaf_e_i_apu/30/umm/eiapu_2.files/image084.jpg"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30ACB59" wp14:editId="7027C97B">
            <wp:extent cx="5731510" cy="5779770"/>
            <wp:effectExtent l="0" t="0" r="0" b="0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A7E0E1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Рисунок 1.7 - К определению коэффициентов гармонической линеаризации нелинейных элементов</w:t>
      </w:r>
    </w:p>
    <w:p w14:paraId="70EE57E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Ограничение справедливости формул условием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695DB5" wp14:editId="023CC37F">
            <wp:extent cx="626110" cy="281305"/>
            <wp:effectExtent l="0" t="0" r="0" b="0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имеет тот смысл, что если амплитуда А входной синусоиды будет меньше половины зоны нечувствительности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нелинейный элемент не сработает и движение в системе будет отсутствовать. Поэтому все расчеты начинаются с предельного значения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249156" wp14:editId="45E884E8">
            <wp:extent cx="626110" cy="288290"/>
            <wp:effectExtent l="0" t="0" r="0" b="0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Обращаем внимание на то, что если нелинейная характеристика однозначна, не имеет гистерезиса, то коэффициент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3FA202" wp14:editId="1836E585">
            <wp:extent cx="914400" cy="316230"/>
            <wp:effectExtent l="0" t="0" r="0" b="0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0FDB0A" wp14:editId="3452B931">
            <wp:extent cx="154940" cy="288290"/>
            <wp:effectExtent l="0" t="0" r="0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эквивалентный комплексный коэффициент усиления, вычисленный по формуле (1.30), будет числом вещественным.</w:t>
      </w:r>
    </w:p>
    <w:p w14:paraId="02AEF577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Рассмотрим систему автоматического  регулирования, состоящую из нескольких линейных звеньев и одного нелинейного. Все линейные звенья могут быть объединены в один эквивалентный линейный элемент, и тогда структурная схема примет вид, изображенный на рисунке 1.8.</w:t>
      </w:r>
    </w:p>
    <w:p w14:paraId="0D0B80B8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D55C5F3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"https://libr.aues.kz/facultet/eef/kaf_e_i_apu/30/umm/eiapu_2.files/image089.jpg"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4976D3B" wp14:editId="204667DF">
            <wp:extent cx="3369310" cy="1449070"/>
            <wp:effectExtent l="0" t="0" r="0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E97C11A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Рисунок 1.8 - Структурная схема системы с нелинейным элементом</w:t>
      </w:r>
    </w:p>
    <w:p w14:paraId="0ED7D81F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Рассмотрим нелинейный элемент. Предположим, что на его вход подано синусоидальное воздействие                                          </w:t>
      </w:r>
    </w:p>
    <w:p w14:paraId="098AC966" w14:textId="77777777" w:rsidR="00D67303" w:rsidRPr="004377D1" w:rsidRDefault="00D67303" w:rsidP="00D6730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80B9E05" wp14:editId="00B9EEA7">
            <wp:extent cx="1259205" cy="344805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2C5D0102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Тогда, пользуясь гармонической линеаризацией, находим эквивалентный коэффициент усиления и с точностью до высших гармоник можем определить выходную величину: </w:t>
      </w:r>
    </w:p>
    <w:p w14:paraId="06FC70FD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 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051F0F" wp14:editId="77856A99">
            <wp:extent cx="1287145" cy="358775"/>
            <wp:effectExtent l="0" t="0" r="0" b="0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(1.34)                                     </w:t>
      </w:r>
    </w:p>
    <w:p w14:paraId="1D87436C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линейную часть. Обозначив ее передаточную функцию через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p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получим уравнение в оперативной форме: </w:t>
      </w:r>
    </w:p>
    <w:p w14:paraId="693251D6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 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576764" wp14:editId="38265240">
            <wp:extent cx="1357630" cy="407670"/>
            <wp:effectExtent l="0" t="0" r="1270" b="0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(1.35)                                     </w:t>
      </w:r>
    </w:p>
    <w:p w14:paraId="4A7A6325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частном случае, когда величина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является гармонической функцией с неизменными амплитудой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 частотой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ω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она может быть представлена в показательной форме  </w:t>
      </w:r>
    </w:p>
    <w:p w14:paraId="543A6B91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2E42CF" wp14:editId="56C5C5B5">
            <wp:extent cx="1146810" cy="379730"/>
            <wp:effectExtent l="0" t="0" r="0" b="0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(1.36)</w:t>
      </w:r>
    </w:p>
    <w:p w14:paraId="603D6D72" w14:textId="77777777" w:rsidR="00D67303" w:rsidRPr="004377D1" w:rsidRDefault="00D67303" w:rsidP="00D6730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Установившееся значение на выходе линейного элемента при этом будет равно </w:t>
      </w:r>
    </w:p>
    <w:p w14:paraId="2F9C8B1A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C3E87AB" wp14:editId="05E79FF0">
            <wp:extent cx="2018665" cy="365760"/>
            <wp:effectExtent l="0" t="0" r="0" b="0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(1.37)                                </w:t>
      </w:r>
    </w:p>
    <w:p w14:paraId="2391325F" w14:textId="77777777" w:rsidR="00D67303" w:rsidRPr="004377D1" w:rsidRDefault="00D67303" w:rsidP="00D6730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Здесь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EF748F" wp14:editId="7A575887">
            <wp:extent cx="759460" cy="316230"/>
            <wp:effectExtent l="0" t="0" r="0" b="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называется комплексным коэффициентом усиления части,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получающимся из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 вместо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EC374C" wp14:editId="181202A7">
            <wp:extent cx="253365" cy="281305"/>
            <wp:effectExtent l="0" t="0" r="0" b="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подставить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FC824F" wp14:editId="431FC8AC">
            <wp:extent cx="393700" cy="302260"/>
            <wp:effectExtent l="0" t="0" r="0" b="0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4463CC2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соответствии с уравнением (1.37) на выходе линейной части получаются также гармонические колебания, отличающиеся от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5623C43" wp14:editId="14AE9EA6">
            <wp:extent cx="253365" cy="365760"/>
            <wp:effectExtent l="0" t="0" r="0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амплитуде и фазе, причем это отличие полностью определяется комплексным коэффициентом усиления </w:t>
      </w:r>
    </w:p>
    <w:p w14:paraId="65959493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"https://libr.aues.kz/facultet/eef/kaf_e_i_apu/30/umm/eiapu_2.files/image099.gif"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0904A6" wp14:editId="17040C94">
            <wp:extent cx="2194560" cy="393700"/>
            <wp:effectExtent l="0" t="0" r="0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</w:p>
    <w:p w14:paraId="3671AAC9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Модуль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1634D0E" wp14:editId="298FC9E9">
            <wp:extent cx="808990" cy="407670"/>
            <wp:effectExtent l="0" t="0" r="0" b="0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представляет собой отношение выходной амплитуды к входной, аргумент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41AF7D" wp14:editId="4EF5F898">
            <wp:extent cx="612140" cy="316230"/>
            <wp:effectExtent l="0" t="0" r="0" b="0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разность фаз выходной и входной синусоид. Для линейной части комплексный коэффициент изменяется при изменении частоты, но не зависит от амплитуды входного сигнала.</w:t>
      </w:r>
    </w:p>
    <w:p w14:paraId="41B1C3A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теперь систему в целом. Предположим, что система находится на грани устойчивости, и в ней возникли незатухающие колебания с частотой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4EC32C" wp14:editId="61A254A9">
            <wp:extent cx="217805" cy="217805"/>
            <wp:effectExtent l="0" t="0" r="0" b="0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амплитудой на входе нелинейного элемента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B96C3E4" wp14:editId="51E5DC44">
            <wp:extent cx="253365" cy="267335"/>
            <wp:effectExtent l="0" t="0" r="0" b="0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Тогда уравнения системы в соответствии с выражениями (1.34), (1.35) и       рисунком 1.8 будут иметь вид: </w:t>
      </w:r>
    </w:p>
    <w:p w14:paraId="5BAAAC7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3FFFC1" wp14:editId="04439444">
            <wp:extent cx="1230630" cy="330835"/>
            <wp:effectExtent l="0" t="0" r="0" b="0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F9B9FA3" wp14:editId="00480D21">
            <wp:extent cx="1357630" cy="330835"/>
            <wp:effectExtent l="0" t="0" r="0" b="0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2C6774" wp14:editId="2D89BD63">
            <wp:extent cx="886460" cy="344805"/>
            <wp:effectExtent l="0" t="0" r="0" b="0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(1.38)                              </w:t>
      </w:r>
    </w:p>
    <w:p w14:paraId="3DA714D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Исключая из этих уравнений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334493" wp14:editId="01DA8B6E">
            <wp:extent cx="217805" cy="302260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823AE23" wp14:editId="4BDC50E1">
            <wp:extent cx="253365" cy="344805"/>
            <wp:effectExtent l="0" t="0" r="0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получим </w:t>
      </w:r>
    </w:p>
    <w:p w14:paraId="4DD6699F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17A240" wp14:editId="4BB85B46">
            <wp:extent cx="2046605" cy="316230"/>
            <wp:effectExtent l="0" t="0" r="0" b="127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                            (1.39)          </w:t>
      </w:r>
    </w:p>
    <w:p w14:paraId="359ECE7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Так как в системе происходят незатухающие колебания, то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926717" wp14:editId="5D89D550">
            <wp:extent cx="689610" cy="344805"/>
            <wp:effectExtent l="0" t="0" r="0" b="0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и, следовательно </w:t>
      </w:r>
    </w:p>
    <w:p w14:paraId="286416BB" w14:textId="77777777" w:rsidR="00D67303" w:rsidRPr="004377D1" w:rsidRDefault="00D67303" w:rsidP="00D6730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C956ED" wp14:editId="4618750D">
            <wp:extent cx="1941195" cy="316230"/>
            <wp:effectExtent l="0" t="0" r="0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(1.40)</w:t>
      </w:r>
    </w:p>
    <w:p w14:paraId="22C8D9C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– уравнение свободных колебаний системы. Левая часть уравнения является комплексной величиной. Приравнивая отдельно ее вещественную и мнимую части нулю, получим два уравнения с двумя неизвестными: частотой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34F3AFB" wp14:editId="01967F10">
            <wp:extent cx="224790" cy="217805"/>
            <wp:effectExtent l="0" t="0" r="381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амплитудой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952E0E" wp14:editId="47148D21">
            <wp:extent cx="239395" cy="281305"/>
            <wp:effectExtent l="0" t="0" r="0" b="0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Если в результате решения этих уравнении получаются вещественные числа, то в системе возможны колебания с найденными частотой и амплитудой. Если при решении получаются мнимые числа, то колебания в системе невозможны, система устойчива. Проще и нагляднее это решение произвести графически.</w:t>
      </w:r>
    </w:p>
    <w:p w14:paraId="0E586D76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Перепишем уравнение (1.40) следующим образом </w:t>
      </w:r>
    </w:p>
    <w:p w14:paraId="716BEF2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 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76F93E" wp14:editId="4144C0B3">
            <wp:extent cx="1547495" cy="661035"/>
            <wp:effectExtent l="0" t="0" r="0" b="0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(1.41)            </w:t>
      </w:r>
    </w:p>
    <w:p w14:paraId="54C1A5B8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Левая часть уравнения при изменении частоты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A17291" wp14:editId="1DB4C87E">
            <wp:extent cx="239395" cy="217805"/>
            <wp:effectExtent l="0" t="0" r="1905" b="0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 0 до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7C5CDF" wp14:editId="2D039B59">
            <wp:extent cx="429260" cy="217805"/>
            <wp:effectExtent l="0" t="0" r="0" b="0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представляет амплитудно-фазовою частотную характеристику линейной части системы в разомкнутом состоянии.</w:t>
      </w:r>
    </w:p>
    <w:p w14:paraId="23FF70DE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Правая часть уравнения при изменении амплитуды от 0 или от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6B71FB" wp14:editId="7B00A36A">
            <wp:extent cx="647065" cy="288290"/>
            <wp:effectExtent l="0" t="0" r="0" b="0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"https://libr.aues.kz/facultet/eef/kaf_e_i_apu/30/umm/eiapu_2.files/image118.gif"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8A15D0" wp14:editId="6673B396">
            <wp:extent cx="506730" cy="253365"/>
            <wp:effectExtent l="0" t="0" r="0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представляет обратную амплитудную характеристику нелинейного элемента системы регулирования. Обе характеристики могут быть вычерчены в одной системе координат. Точка пересечения характеристик дает решение уравнения (1.41). При этом частота колебаний определяется частотой на амплитудно-фазовой характеристике в точке пересечения кривых, а амплитуда колебаний определяется значением амплитуды на амплитудной характеристике нелинейного элемента в той же точке (см. рисунок 1.9,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1999B324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87A3249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"https://libr.aues.kz/facultet/eef/kaf_e_i_apu/30/umm/eiapu_2.files/image119.jpg"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FBD7853" wp14:editId="22BE0B81">
            <wp:extent cx="5731510" cy="1638300"/>
            <wp:effectExtent l="0" t="0" r="0" b="0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2E7FBED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8B89208" w14:textId="77777777" w:rsidR="00D67303" w:rsidRPr="004377D1" w:rsidRDefault="00D67303" w:rsidP="00D6730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1.9 - Графическое решение линейного и линеаризованного уравнений </w:t>
      </w:r>
    </w:p>
    <w:p w14:paraId="3BC71C11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амплитудно-фазовая характеристика линейного элемента и амплитудная характеристика нелинейного элемента не пересекаются           (см. рисунок 1.9,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 в системе автоколебания невозможны. Если указанные кривые касаются друг друга (см. рисунок 1.9,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 система (приближенно) находится на границе устойчивости.</w:t>
      </w:r>
    </w:p>
    <w:p w14:paraId="608C85E0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Имея амплитудную характеристику линейного элемента, можно так выбрать параметры линейной части системы, чтобы указанные кривые не пересекались и следовательно, система была устойчивой.</w:t>
      </w:r>
    </w:p>
    <w:p w14:paraId="09F8CA14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Устойчивость колебаний в системе можно оценить следующим способом, который не является достаточно строгим, но в большинстве случаев дает правильные результаты. Дадим небольшое приращение амплитуде колебаний в точке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1.9,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При положительном приращении +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∆А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обратной амплитудной характеристике получим, например,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CC175F" wp14:editId="03A98A9B">
            <wp:extent cx="302260" cy="365760"/>
            <wp:effectExtent l="0" t="0" r="0" b="0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при отрицательном приращении -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∆А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A370FC9" wp14:editId="4D6563B1">
            <wp:extent cx="281305" cy="316230"/>
            <wp:effectExtent l="0" t="0" r="0" b="0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86D23BB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амплитудно-фазовая характеристика устойчивой разомкнутой линейной части не охватывает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5AE56B1" wp14:editId="4C409287">
            <wp:extent cx="302260" cy="365760"/>
            <wp:effectExtent l="0" t="0" r="0" b="0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соответствующую положительному приращению амплитуды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∆А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охватывает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4210CB" wp14:editId="558B2E16">
            <wp:extent cx="281305" cy="316230"/>
            <wp:effectExtent l="0" t="0" r="0" b="0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соответствующую отрицательному приращению амплитуды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∆А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автоколебания будут устойчивы.  В соответствии с этим определением автоколебания в точке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на рисунке 1.9,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устойчивы, а в точке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неустойчивы.</w:t>
      </w:r>
    </w:p>
    <w:p w14:paraId="7E0074D4" w14:textId="77777777" w:rsidR="00D67303" w:rsidRPr="004377D1" w:rsidRDefault="00D67303" w:rsidP="00D6730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Метод гармонической линеаризации позволяет правильно выбрать параметры изменяемой части нелинейной системы. Метод гармонической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линеаризации применим и при наличии в системе нескольких нелинейности при различном их сочетании с линейными звеньями.</w:t>
      </w:r>
    </w:p>
    <w:p w14:paraId="0892A0C4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03"/>
    <w:rsid w:val="0027705D"/>
    <w:rsid w:val="00533A55"/>
    <w:rsid w:val="0082156A"/>
    <w:rsid w:val="00D6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0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0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0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7" Type="http://schemas.openxmlformats.org/officeDocument/2006/relationships/image" Target="media/image3.gif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66" Type="http://schemas.openxmlformats.org/officeDocument/2006/relationships/image" Target="media/image62.gif"/><Relationship Id="rId7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jpeg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61" Type="http://schemas.openxmlformats.org/officeDocument/2006/relationships/image" Target="media/image57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20" Type="http://schemas.openxmlformats.org/officeDocument/2006/relationships/image" Target="media/image16.gif"/><Relationship Id="rId41" Type="http://schemas.openxmlformats.org/officeDocument/2006/relationships/image" Target="media/image37.jpeg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2024-08-31T14:26:00Z</dcterms:created>
  <dcterms:modified xsi:type="dcterms:W3CDTF">2024-08-31T14:26:00Z</dcterms:modified>
</cp:coreProperties>
</file>